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100</w:t>
      </w:r>
    </w:p>
    <w:p>
      <w:r>
        <w:t>Bundesgericht (BGE), 1965-01-28, DE</w:t>
      </w:r>
    </w:p>
    <w:p>
      <w:r>
        <w:rPr>
          <w:b/>
        </w:rPr>
        <w:t xml:space="preserve">Quelle: </w:t>
      </w:r>
      <w:r>
        <w:t>https://mcp.opencaselaw.ch/entscheid/bge_91 II 100</w:t>
      </w:r>
    </w:p>
    <w:p>
      <w:r>
        <w:t>FR: ATF 91 II 100</w:t>
      </w:r>
    </w:p>
    <w:p>
      <w:r>
        <w:t>IT: DTF 91 II 100</w:t>
      </w:r>
    </w:p>
    <w:p>
      <w:pPr>
        <w:pStyle w:val="Heading2"/>
      </w:pPr>
      <w:r>
        <w:t>Regeste</w:t>
      </w:r>
    </w:p>
    <w:p>
      <w:r>
        <w:t>Regeste Verantwortlichkeit des Grundeigentümers. Art. 679 ZGB. Ausfüllung einer Lücke des Gesetzes durch den Richter. Art 1 Abs. 2 und 3 ZGB. Führen Bauarbeiten und -vorrichtungen (auch solche auf öffentlichem Boden) zu beträchtlicher Schädigung eines Nachbars infolge vonEinwirkungen, welche die Grenzen des ordentlichen Nachbarrechts (Art. 684 ZGB) überschreiten, jedoch als unvermeidlich während der Bauzeit zu dulden sind, so hat der bauende Eigentümer nach richterlichem Ermessen Ersatz zu leisten.</w:t>
      </w:r>
    </w:p>
    <w:p>
      <w:pPr>
        <w:pStyle w:val="Heading2"/>
      </w:pPr>
      <w:r>
        <w:t>Erwägungen</w:t>
      </w:r>
    </w:p>
    <w:p>
      <w:r>
        <w:rPr>
          <w:b/>
        </w:rPr>
        <w:t>E. 1</w:t>
      </w:r>
    </w:p>
    <w:p>
      <w:r>
        <w:t>Das angefochtene Urteil stellt fest, welchen Beeinträchtigungen der Geschäftsbetrieb des Klägers während der Bauzeit ausgesetzt war. Diese Feststellungen betreffen tatsächliche Verhältnisse, Vorgänge und Kausalzusammenhänge; sie binden das Bundesgericht ( Art. 63 Abs. 2 OG ). Die Beklagtschaft macht zwar geltend, es beruhe auf einem offenkundigen, vom Bundesgericht zu berichtigenden Versehen, wenn das angefochtene Urteil auf Seite 2 feststellt, der Bäckereiladen des Klägers habe an der Nidaugasse "ohne Beeinträchtigung der Käufer durch Bauabschrankungen nur auf dem westseitigen Trottoir von Süden her oder vom ostseitigen Trottoir aus erreicht werden" können. Diese Urteilsstelle will aber zweifellos nichts anderes sagen, als was sich aus dem von der Beklagtschaft angerufenen Augenscheinsprotokoll in Verbindung mit den Zeugenaussagen, so wie sie der Appellationshof gewürdigt hat, ergibt: der Ladeneingang an der Nidaugasse war zwar durch die Abschrankung des Bauplatzes nicht versperrt, aber den Augen der von Norden her, längs des Bauplatzes mit der hohen Abschlusswand, daherkommenden Fussgänger verdeckt; und manche von ihnen zogen es vor, gar nicht den schmalen Weg längs der Baustelle zu benützen, sondern sich auf die andere Strassenseite zu begeben.</w:t>
      </w:r>
    </w:p>
    <w:p>
      <w:r>
        <w:rPr>
          <w:b/>
        </w:rPr>
        <w:t>E. 2</w:t>
      </w:r>
    </w:p>
    <w:p>
      <w:r>
        <w:t>In rechtlicher Hinsicht will die beklagte Partei nicht gelten lassen, dass die von einer Baustelle ausgehenden Einwirkungen auf Nachbargrundstücke - Lärm, Staub, Erschütterung, Sicht- und Zugangserschwerungen - eine Verantwortlichkeit des bauenden Eigentümers nach Art. 679 ZGB zu begründen vermögen, wenn das Baugeschehen in jeder Hinsicht einwandfrei war und BGE 91 II 100 S. 104 sich die in Frage stehenden Einwirkungen samt und sonders nicht vermeiden liessen. Unter diesen Umständen - und so verhalte es sich nach den vom Appellationshofe festgehaltenen Ergebnissen der Beweisführung - könne von einer "Überschreitung des Eigentumsrechts" im Sinne von Art. 679 ZGB nicht gesprochen werden. Es trifft zu, dass der Appellationshof die vom Kläger als übermässig lang bezeichnete Bauzeit von zwei Jahren und drei Monaten als angemessen befunden hat; die Bauarbeiten seien tunlich rasch ausgeführt und nicht über Gebühr verzögert worden. Das Urteil betrachtet ferner die Werkplatzanlagen, namentlich auch diejenigen, welche mit behördlicher Bewilligung auf dem Strassen- und Trottoirboden aufgestellt wurden, als technisch notwendig und die in Frage stehenden Einwirkungen auf die Nachbargrundstücke als unvermeidlich. Dennoch gelangt das Urteil zur Gutheissung der Klage. Es hält dafür, von den Bauarbeiten und -vorrichtungen ausgehende Einwirkungen hätten nach Art, Stärke und Dauer das dem Kläger zumutbare Mass überschritten. Die Vorinstanz folgt dabei der Betrachtungsweise des bundesgerichtlichen Urteils vom 19. September 1957 i.S. Perrin gegen Vitra SA ( BGE 83 II 375 ff.). Dort wird mit näherer Begründung ausgeführt, die Unzukömmlichkeiten, die sich aus den Werkplatzanlagen und den Bauarbeiten für ein Nachbargrundstück ergeben, dürften gewisse Grenzen nicht überschreiten. Der Richter habe das zulässige Mass zu bestimmen und zu diesem Zweck die gesamten Umstände zu berücksichtigen und die beidseitigen Interessen abzuwägen. Im vorliegenden Falle hält der Appellationshof dafür, Schädigungen, wie sie der Kläger infolge der Errichtung des Neubaues der Beklagten während der Bauzeit erlitten hat, seien ihm als Nachbar nicht zuzumuten gewesen. Somit habe die Beklagte ihr Eigentumsrecht überschritten und sei nach Art. 679 ZGB schadenersatzpflichtig. Die Beklagte betrachtet diese Argumentation als widerspruchsvoll. Einerseits werde ihr keinerlei rechtswidriges Verhalten bei der Projektierung und Ausführung ihres Neubaues vorgeworfen; anderseits solle die dem Kläger erwachsene Schädigung dann gleichwohl auf eine "Überschreitung des Eigentumsrechts" zurückgeführt werden. Für die Folgen einer rechtmässigen Ausübung des Eigentums könne aber der Bauende nicht verantwortlich gemacht werden. Ein solches Verhalten falle nicht BGE 91 II 100 S. 105 unter die Haftungsnorm des Art. 679 ZGB . Was das von der Vorinstanz herangezogene Präjudiz ( BGE 83 II 375 ff.) betrifft, so verweist die Beklagte auf die kritischen Bemerkungen von P. LIVER (ZbJV 95 S. 20 ff.). Dieser Autor nimmt Anstoss daran, dass jene Entscheidung Massnahmen, ohne welche die unerlässlichen Bauarbeiten auf einem Grundstück überhaupt nicht durchgeführt werden können, als widerrechtlich betrachtet, weshalb der Bauende zu Schadenersatz verpflichtet sei, wenn die Beeinträchtigung eines Nachbars während der Bauzeit ein gewisses Mass überschreitet. Er bemerkt dazu, die Ablenkung des Passantenverkehrs von einem bestimmten Geschäftslokal stelle jedenfalls keine unmittelbare Einwirkung in den Grundstücksraum des Nachbars dar. Es handle sich um eine mittelbare Einwirkung, eine sog. Immission, und zwar eine negative, wozu auch positive wie namentlich der Baulärm treten können. Hiefür den bauenden Grundeigentümer als haftbar zu erklären, erscheine bedenklich. Dies namentlich, weil die Frage, ob und wie aufeinem Grundstück gebaut werden dürfe, wie das Bundesgericht entschieden habe ( BGE 40 II 335 ), gar nicht nach Art.684 ZGB zu beurteilen sei. Eher käme eine Haftung des Gemeinwesens in Frage, welches im Interesse eines privaten Bauherrn ein Strassenstück vorübergehend dem Verkehr entzieht. Allerdings könne mitunter der Neubau, der Umbau oder die notwendige Reparatur gar nicht ohne Benutzung des Strassenareals durchgeführt werden. Darin liege aber gerade die von der besprochenen Entscheidung ungelöst gelassene Problematik der Haftung sowohl des Gemeinwesens wie auch des privaten Grundeigentümers. Das Urteil möge "als blosses Billigkeitsurteil seine Anerkennung finden". Indessen ergibt sich bei näherer Prüfung der gewiss problematischen Haftungsfrage, dass die in BGE 83 II 375 ff. für richtig befundene Lösung der rechtlichen Grundlage nicht entbehrt. Freilich lässt sich die Haftung des bauenden Grundeigentümers für unvermeidliche Immissionen nicht einfach auf Art. 679 ZGB stützen. Diese Norm macht den Grundeigentümer in der Tat bloss für "Überschreitungen" seines Eigentumsrechts, also nicht für die Folgen einer in allen Teilen rechtmässigen Eigentumsausübung verantwortlich. Zu beachten ist jedoch, dass es bei Ausführung einer Baute zu Immissionen kommen kann, die zwar unvermeidlich sind und daher hingenommen werden müssen, jedoch das ordentlicherweise bei der Benutzung und Bewirtschaftung BGE 91 II 100 S. 106 des Grundstückes nach den allgemeinen Grundsätzen des Nachbarrechts ( Art. 684 ZGB ) Zulässige nach Art, Stärke und Dauer weit übersteigen. Vor und nach Errichtung des Neubaues wären Einwirkungen, wie sie hier die Bauzeit mit sich brachte, schlechthin unzulässig gewesen; denn es steht einem Grundeigentümer inmitten eines städtischen Quartiers keineswegs zu, bei der gewöhnlichen Benutzung und Bewirtschaftung seines Grundstückes die Nachbarschaft mehr als zwei Jahre lang mit geringen Unterbrechungen auf solche Weise mit Lärm- und Staubeinwirkungen zu belästigen und zu schädigen und dabei erst noch die Zugangswege zum nachbarlichen Ladengeschäft durch Belegung und Abschrankung des öffentlichen Strassenbodens (wenn auch mit behördlicher Bewilligung) zu verschlechtern. All dies entgeht dem Vorwurf der Rechtswidrigkeit nur eben wegen des dem bauenden Grundeigentümer zuzuerkennenden Privilegs, wonach er an die Regeln des ordentlichen Nachbarrechts ( Art. 684 ZGB ) nicht unbedingt gebunden ist, sondern, soweit es sich bei der Bauausführung nicht vermeiden lässt, in den Rechtsbereich der Nachbarn eingreifen darf (was auch P. Liver, mit Hinweis auf BGE 40 II 335 , erwähnt). Mit dieser Rechtslage rechnet Art. 679 ZGB gar nicht. Er will vornehmlich der Verwirklichung der nachbarrechtlichen Regeln des Art. 684 ZGB dienen (vgl. BGE 88 II 263 ) und fasst nur den Fall ins Auge, dass diese Regeln den gegebenen Sachverhalt beherrschen. Welche Rechtsfolgen eintreten, wenn ausnahmsweise, bei der Bauerrichtung, Übergriffe in den ordentlichen Rechtsbereich der Nachbarn erlaubt sind, wird vom Gesetze nicht bestimmt. Es besteht also eine Gesetzeslücke, die der Richter auszufüllen hat. Hiebei fallen vorbeugende Massnahmen mit verhindernder Wirkung, wie sie Art. 679 in erster Linie vorsieht, ausser Betracht; denn die dem Privileg des Bauenden entsprechende Duldungspflicht der Nachbarn schliesst dem Begriffe nach das Recht zur Verhinderung aus. Eine Schadenersatzpflicht verträgt sich dagegen mit dem Vorrecht, ausnahmsweise in fremde Rechtsbereiche einzugreifen, sehr wohl; ja sie ist dessen angemessenes Gegenstück. Die in Frage stehende Gesetzeslücke - die beim Erlass des ZGB noch kaum erkennbar war, jedoch dann im Lauf der Jahrzehnte infolge der Entwicklung der maschinellen Baumethoden und der häufigen Inanspruchnahme öffentlichen Bodens immer mehr erkennbar geworden ist - soll nicht in der Weise ausgefüllt werden, dass sich eine reine Billigkeitsentscheidung ergibt. Vielmehr ist nach BGE 91 II 100 S. 107 gesetzgeberischer Methode zu verfahren (vgl. MEIER-HAYOZ, zu Art. 1 ZGB N. 41 und zu Art. 4 N. 74), also eine Lösung zu suchen, die sich folgerichtig in das Gefüge der gesetzlichen Bestimmungen einreihen lässt. Unter dem Gesichtspunkt des gerechten Interessenausgleichs, der auch dem Art. 679 ZGB zu Grunde liegt, erscheint es nun als angezeigt, die Schadenersatzpflicht im Anschluss an die soeben erwähnte Haftungsnorm grundsätzlich auch dann zu bejahen, wenn die Überschreitung der Schranken des Nachbarrechts mit Rücksicht auf das besondere Interesse des bauenden Grundeigentümers und auf die Erfordernisse der Bauausführung ausnahmsweise zu dulden war. Diese Lösung steht im Einklang mit Gesetzesbestimmungen, welche an die Zuerkennung von Sonderrechten, insbesondere von Befugnissen zum Eingriff in fremde Rechtsbereiche, gleichfalls eine Entschädigungspflicht knüpfen (vgl. Art. 694 und 701 ZGB ; ferner Art. 5 des Bundesgesetzes über die Enteignung, wonach die aus dem Grundeigentum hervorgehenden Nachbarrechte den Gegenstand einer - naturgemäss mit Entschädigungspflicht verbundenen - Enteignung bilden können).</w:t>
      </w:r>
    </w:p>
    <w:p>
      <w:r>
        <w:rPr>
          <w:b/>
        </w:rPr>
        <w:t>E. 3</w:t>
      </w:r>
    </w:p>
    <w:p>
      <w:r>
        <w:t>Bei der Beurteilung solcher Ansprüche ist dem Richter (etwa entsprechend dem Grundsatz des Art. 52 Abs. 2 OR ) ein weiter Spielraum zu belassen. Blosse Unzukömmlichkeiten, wie sie sich bei der Errichtung eines Baues gewöhnlich für die Nachbarschaft ergeben, vermögen einen Anspruch auf Ausgleich in Geld nicht zu rechtfertigen. Führen die ausserordentlichen Einwirkungen aber zu einer beträchtlichen Schädigung von Nachbarn (seien es Eigentümer oder Besitzer aus beschränktem dinglichem oder persönlichem Recht; BGE 83 II 379 Erw. 1), so ist die Ersatzpflicht grundsätzlich zu bejahen. So verhält es sich hier. Die Beklagte wendet zwar ein, die dem Kläger für die ganze Bauzeit zugesprochene Entschädigung ergebe für den einzelnen Werktag einen zu deckenden Schaden von bloss etwa 9 Franken, was nicht als beträchtlich erscheine. Allein ein Schaden von mehreren tausend Franken ist nicht minder beträchtlich, wenn er im Lauf einer langen Bauzeit angewachsen ist, als wenn er auf einmal oder binnen einer kurzen Bauperiode eingetreten wäre. Im übrigen beruht das angefochtene Urteil auf einer rechtlich einwandfreien Ausübung richterlichen Ermessens.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